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Кардиология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03:38 МСК · База обновлена: 25.07.2026, 03:25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Кардиология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Женщина, 55 лет, обратилась к врачу кардиологу.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давящие боли за грудиной, одышку, возникающие без четкой связи с физическими нагрузками, проходящие самостоятельно или после приема нитратов (пользуется редко из-за сильной головной боли);</w:t>
      </w:r>
    </w:p>
    <w:p>
      <w:pPr>
        <w:spacing w:after="58"/>
      </w:pPr>
      <w:r>
        <w:rPr>
          <w:b w:val="0"/>
          <w:i w:val="0"/>
        </w:rPr>
        <w:t>* дестабилизацию цифр артериального давления (снижение до 80/60 мм рт.ст., подъемы до 160/90 мм рт.ст.);</w:t>
      </w:r>
    </w:p>
    <w:p>
      <w:pPr>
        <w:spacing w:after="58"/>
      </w:pPr>
      <w:r>
        <w:rPr>
          <w:b w:val="0"/>
          <w:i w:val="0"/>
        </w:rPr>
        <w:t>* синкопальные состояния;</w:t>
      </w:r>
    </w:p>
    <w:p>
      <w:pPr>
        <w:spacing w:after="58"/>
      </w:pPr>
      <w:r>
        <w:rPr>
          <w:b w:val="0"/>
          <w:i w:val="0"/>
        </w:rPr>
        <w:t>* перебои в работе сердца.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Около 20 лет беспокоят обмороки (1-2 раза в год), возникающие, в основном, при стрессовых ситуациях.</w:t>
        <w:br/>
        <w:t>Ухудшение состояния в течение 5 месяцев, когда стала впервые отмечать приступы загрудинных болей, одышку, синкопальные состояния (в течение последних 2-х месяцев 3 эпизода с потерей сознания), дестабилизацию цифр АД (подъемы до 200/110 мм рт.ст., снижение до 80/60 мм рт.ст., ранее АД было в пределах 110-130/80 мм рт.ст.). Принимала симптоматическую терапию по требованию.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Хронические заболевания отрицает;</w:t>
      </w:r>
    </w:p>
    <w:p>
      <w:pPr>
        <w:spacing w:after="58"/>
      </w:pPr>
      <w:r>
        <w:rPr>
          <w:b w:val="0"/>
          <w:i w:val="0"/>
        </w:rPr>
        <w:t>* не курит, алкоголем не злоупотребляет;</w:t>
      </w:r>
    </w:p>
    <w:p>
      <w:pPr>
        <w:spacing w:after="58"/>
      </w:pPr>
      <w:r>
        <w:rPr>
          <w:b w:val="0"/>
          <w:i w:val="0"/>
        </w:rPr>
        <w:t>* профессиональных вредностей не имела;</w:t>
      </w:r>
    </w:p>
    <w:p>
      <w:pPr>
        <w:spacing w:after="58"/>
      </w:pPr>
      <w:r>
        <w:rPr>
          <w:b w:val="0"/>
          <w:i w:val="0"/>
        </w:rPr>
        <w:t>* аллергических реакций не было;</w:t>
      </w:r>
    </w:p>
    <w:p>
      <w:pPr>
        <w:spacing w:after="58"/>
      </w:pPr>
      <w:r>
        <w:rPr>
          <w:b w:val="0"/>
          <w:i w:val="0"/>
        </w:rPr>
        <w:t>* отец умер в 53 года, перенес ИМ, мать страдает ГБ.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Рост 165 см, масса тела 93 кг, ИМТ 34.2 кг/м2. Кожные покровы обычной окраски и влажности. Периферических отеков нет. Дыхание везикулярное, ЧДД 14 в 1 мин. Тоны сердца ритмичные, ЧСС 72 в 1 мин, АД 100/70 мм рт. ст., систолический шум вдоль левого края грудины. Живот мягкий, безболезненный. Печень по краю реберной дуги.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необходимым в данной ситуации инструментальным методам исследования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рентгенография ОГК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суточное мониторирование АД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эхокардиоргафия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суточное мониторирование электрокардиограммы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регистрация электрокардиограммы в 12 отведениях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УЗДС экстракраниального отдела БЦА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3 — эхокардиоргафия; 4 — суточное мониторирование электрокардиограммы; 5 — регистрация электрокардиограммы в 12 отведениях</w:t>
      </w:r>
    </w:p>
    <w:p>
      <w:pPr>
        <w:ind w:left="504"/>
      </w:pPr>
      <w:r>
        <w:rPr>
          <w:b w:val="0"/>
          <w:i/>
        </w:rPr>
        <w:t>ЭХОКГ-исследование пациентам  необходимо выполнять в соответствии с отечественными и зарубежными рекомендациями по эхокардиографии AHA, ASE (American Society of Echocardiography) и EACI (European Association of Cardiovascular Imaging).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Гипертрофическая кардиомиопатия, 2025 г.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ХМ сердечного ритма рекомендуется всем пациентам с ГКМП, в том числе асимптомным, с целью выявления нарушений ритма сердца (ФП и ЖТ) и проводимости для стратификации риска ВСС и отбора кандидатов для имплантации ИКД***.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Гипертрофическая кардиомиопатия, 2025 г.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Регистрация электрокардиограммы рекомендуется всем пациентам при первичном обследовании с подозрением на ГКМП, после постановки диагноза в процессе подбора фармакотерапии, после хирургических и эндоваскулярных вмешательств и при  динамическом наблюдении каждые 12-24 месяцев.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Гипертрофическая кардиомиопатия, 2025 г.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Для уточнения этиологии данного заболевания необходимо провести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эндомиокардиальную биопсию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позитронно-эмиссионную сцинтиграфию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фонокардиографию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магнитно-резонансную томографию сердца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нагрузочные тесты (тредмил тест)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коронарографию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4 — магнитно-резонансную томографию сердца; 6 — коронарографию</w:t>
      </w:r>
    </w:p>
    <w:p>
      <w:pPr>
        <w:ind w:left="504"/>
      </w:pPr>
      <w:r>
        <w:rPr>
          <w:b w:val="0"/>
          <w:i/>
        </w:rPr>
        <w:t>МРТ сердца с контрастированием (при отсутствии противопоказаний) рекомендуется выполнить как минимум один раз после постановки диагноза ГКМП для уточнения данных ЭХОКГ (анатомии сердца, функции желудочков), а также выявления и оценки распространенности фиброза миокарда и исключения фенокопий ГКМП и других заболеваний.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Гипертрофическая кардиомиопатия, 2025 г.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Всем пациентам с ГКМП старше 40 лет рекомендуется выполнение КАГ или КТ-коронарографию до редукции МЖП, независимо от наличия типичного стенокардитического болевого синдрома с целью диагностики обструктивного поражения эпикардиальных коронарных артерий.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Гипертрофическая кардиомиопатия, 2025 г.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Повышенное содержание +_______________+  ассоциировано с острыми сердечно-сосудистыми событиями, сердечной недостаточностью и смертью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общего холестерина, ЛНП, ЛВП, ТГ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СОЭ, лейкоцитов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креатинина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Nt-proBNP, тропонина 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Nt-proBNP, тропонина Т</w:t>
      </w:r>
    </w:p>
    <w:p>
      <w:pPr>
        <w:ind w:left="504"/>
      </w:pPr>
      <w:r>
        <w:rPr>
          <w:b w:val="0"/>
          <w:i/>
        </w:rPr>
        <w:t>Высокий уровень N-концевого мозгового натрийуретического пропептида (NT-proBNP) и высокочувствительного сердечного тропонина T (hs-cTnT) ассоциированы  с сердечной недостаточностью и другими сердечно-сосудистыми событиями.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Гипертрофическая кардиомиопатия, 2025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Наиболее вероятным диагнозом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Гипертрофическая кардиомиопатия с обструкцией выносящего тракта ЛЖ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Стеноз устья аорты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Эссенциальная артериальная гипертензия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Ишемическая болезнь сердца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Гипертрофическая кардиомиопатия с обструкцией выносящего тракта ЛЖ</w:t>
      </w:r>
    </w:p>
    <w:p>
      <w:pPr>
        <w:ind w:left="504"/>
      </w:pPr>
      <w:r>
        <w:rPr>
          <w:b w:val="0"/>
          <w:i/>
        </w:rPr>
        <w:t>Гипертрофическая кардиомиопатия (ГКМП) – это преимущественно генетически обусловленное заболевание (семейные и  несемейные формы), характеризующееся гипертрофией миокарда левого (1,5 см и более у взрослых) и/или реже правого желудочка, чаще асимметричного характера за счет утолщения межжелудочковой перегородки, фиброзом и феноменом «disarray», которая не может объясняться исключительно повышением нагрузки давлением и возникающее при отсутствии других потенциально причинных системных, синдромных или метаболических заболеваний.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Гипертрофическая кардиомиопатия, 2025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Обструктивная ГКМП: ГД в ВТЛЖ &gt; 30 (50) мм рт.ст. в покое и при нагрузке. В том числе латентная обструкция, при которой ГД в ВТЛЖ &lt; 30 в покое и &gt; 30 (50) мм рт.ст. при нагрузке (подробнее критерии обструкции ВТЛЖ см. в разделе «Диагностика»).</w:t>
        <w:br/>
        <w:br/>
      </w:r>
      <w:hyperlink r:id="rId32">
        <w:r>
          <w:rPr>
            <w:color w:val="173C49"/>
            <w:u w:val="single"/>
          </w:rPr>
          <w:t>(2)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+______________+ метод лечения гипертрофической кардиомиопатии с обструкцией выносящего тракта левого желудочка является основным в лечении данной патологии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Физиотерапевтический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Бальнеологический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Медикаментозный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Хирургический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Хирургический</w:t>
      </w:r>
    </w:p>
    <w:p>
      <w:pPr>
        <w:ind w:left="504"/>
      </w:pPr>
      <w:r>
        <w:rPr>
          <w:b w:val="0"/>
          <w:i/>
        </w:rPr>
        <w:t>При обструктивной ГКМП хирургический метод лечения является «золотым стандартом».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Гипертрофическая кардиомиопатия, 2025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Преимущественным видом хирургического лечения гипертрофической кардиомиопатии с обструкцией выносящего тракта левого желудочка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септальная миомэктомия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алкогольная септальная абляция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имплантация кардиовертер-дефибриллятора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двухкамерная электрокардиостимуляция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септальная миомэктомия</w:t>
      </w:r>
    </w:p>
    <w:p>
      <w:pPr>
        <w:ind w:left="504"/>
      </w:pPr>
      <w:r>
        <w:rPr>
          <w:b w:val="0"/>
          <w:i/>
        </w:rPr>
        <w:t>Редукция МЖП осуществляется с помощью  септальной миоэктомии (СМЭ) – хирургической миэктомии по Морроу (Morrow) в условиях искусственного кровообращения.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Гипертрофическая кардиомиопатия, 2025 г.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Альтернативным методом хирургического лечения гипертрофической кардиомиопатии с обструкцией выносящего тракта левого желудочка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двухкамерная электрокардиостимуляция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имплантация ИКД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септальная миомэктомия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алкогольная септальная абляция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алкогольная септальная абляция</w:t>
      </w:r>
    </w:p>
    <w:p>
      <w:pPr>
        <w:ind w:left="504"/>
      </w:pPr>
      <w:r>
        <w:rPr>
          <w:b w:val="0"/>
          <w:i/>
        </w:rPr>
        <w:t>Таким образом, ЭСА также может быть рассмотрена как альтернативная опция у пациентов с «тонкой» перегородкой.</w:t>
        <w:br/>
        <w:br/>
        <w:t>(ЭСА – этаноловая септальная аблация (06.ЕБГ.13.001.006 Спиртовая септальная абляция эндоваскулярным доступом).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Гипертрофическая кардиомиопатия, 2025 г.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Основной группой препаратов, рекомендованной к терапии при гипертрофической кардиомиопатии,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β-адреноблокаторы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ингибиторы АПФ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сердечные гликозиды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диуретики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β-адреноблокаторы</w:t>
      </w:r>
    </w:p>
    <w:p>
      <w:pPr>
        <w:ind w:left="504"/>
      </w:pPr>
      <w:r>
        <w:rPr>
          <w:b w:val="0"/>
          <w:i/>
        </w:rPr>
        <w:t>Рекомендуется рассмотреть возможность назначения бета-адреноблокаторов или верапамила**, асимптомным взрослым с обструкцией ВТЛЖ (покоя или индуцируемой) для снижения ГД в ВТЛЖ.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Гипертрофическая кардиомиопатия, 2025 г.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Пациентам с ГКМП и обструкцией ВТЛЖ не рекомендуется применение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верапамила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карведилола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амиодарона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органических нитратов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органических нитратов</w:t>
      </w:r>
    </w:p>
    <w:p>
      <w:pPr>
        <w:ind w:left="504"/>
      </w:pPr>
      <w:r>
        <w:rPr>
          <w:b w:val="0"/>
          <w:i/>
        </w:rPr>
        <w:t>Пациентам с ГКМП и обструкцией ВТЛЖ (покоя или индуцируемой) не рекомендуется применение органических нитратов и ингибиторов фосфодиэстеразы.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Гипертрофическая кардиомиопатия, 2025 г.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При невозможности назначения β-блокаторов, следует использовать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антагонисты кальция (верапамил)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диуретики (фуросемид)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антагонисты минералкортикоидных рецепторов (спиронолактон)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ингибиторы АПФ (эналаприл)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антагонисты кальция (верапамил)</w:t>
      </w:r>
    </w:p>
    <w:p>
      <w:pPr>
        <w:ind w:left="504"/>
      </w:pPr>
      <w:r>
        <w:rPr>
          <w:b w:val="0"/>
          <w:i/>
        </w:rPr>
        <w:t>Верапамил** с подбором максимальной переносимой дозы рекомендуется тем пациентам с обструкцией ВТЛЖ (покоя или индуцируемой), которые не переносят бета-адреноблокаторы или имеют противопоказания к их назначению.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Гипертрофическая кардиомиопатия, 2025 г.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У родственников первой линии родства старше 20 лет рекомендовано проводить обследование с ЭКГ и ЭхоКГ каждые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10 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7-10 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 месяцев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2-5 лет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2-5 лет</w:t>
      </w:r>
    </w:p>
    <w:p>
      <w:pPr>
        <w:ind w:left="504"/>
      </w:pPr>
      <w:r>
        <w:rPr>
          <w:b w:val="0"/>
          <w:i/>
        </w:rPr>
        <w:t>Если генетический скрининг пробанду с ГКМП не проводился, клиническое обследование с ЭКГ и ЭХОКГ рекомендуется для родственников первой степени родства каждые 2-5 лет (или 6-12 месяцев, если имеются диагностически незначимые аномалии).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Гипертрофическая кардиомиопатия, 2025 г.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По шкале +__________+ рассчитывают риск внезапной сердечной смерти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CRUSADE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HCMRiskSCD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Euro SCORE II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GRACE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HCMRiskSCD</w:t>
      </w:r>
    </w:p>
    <w:p>
      <w:pPr>
        <w:ind w:left="504"/>
      </w:pPr>
      <w:r>
        <w:rPr>
          <w:b w:val="0"/>
          <w:i/>
        </w:rPr>
        <w:t>Шкала HCM Risk-SCD рекомендуется в качестве метода оценки риска внезапной смерти в течение 5 лет для пациентов с ГКМП ≥ 16 лет без случаев реанимации после эпизодов ЖТ/ФЖ или спонтанной устойчивой ЖТ с потерей сознания или гемодинамическими нарушениями.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Гипертрофическая кардиомиопатия, 2025 г.</w:t>
        </w:r>
      </w:hyperlink>
      <w:r>
        <w:rPr>
          <w:b w:val="0"/>
          <w:i/>
        </w:rPr>
        <w:t xml:space="preserve"> </w:t>
      </w:r>
      <w:hyperlink r:id="rId41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Кардиология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hyperlink" Target="https://library.mededtech.ru/rest/documents/KP283_2/" TargetMode="External"/><Relationship Id="rId23" Type="http://schemas.openxmlformats.org/officeDocument/2006/relationships/hyperlink" Target="https://library.mededtech.ru/rest/documents/KP283_2/#paragraph_d9lnj2" TargetMode="External"/><Relationship Id="rId24" Type="http://schemas.openxmlformats.org/officeDocument/2006/relationships/hyperlink" Target="https://library.mededtech.ru/rest/documents/KP283_2/#list_item_h7pmif" TargetMode="External"/><Relationship Id="rId25" Type="http://schemas.openxmlformats.org/officeDocument/2006/relationships/hyperlink" Target="https://library.mededtech.ru/rest/documents/KP283_2/#list_item_odot6g" TargetMode="External"/><Relationship Id="rId26" Type="http://schemas.openxmlformats.org/officeDocument/2006/relationships/image" Target="media/image7.png"/><Relationship Id="rId27" Type="http://schemas.openxmlformats.org/officeDocument/2006/relationships/hyperlink" Target="https://library.mededtech.ru/rest/documents/KP283_2/#list_item_0k76p6" TargetMode="External"/><Relationship Id="rId28" Type="http://schemas.openxmlformats.org/officeDocument/2006/relationships/hyperlink" Target="https://library.mededtech.ru/rest/documents/KP283_2/#list_item_q0oeqj" TargetMode="External"/><Relationship Id="rId29" Type="http://schemas.openxmlformats.org/officeDocument/2006/relationships/hyperlink" Target="https://library.mededtech.ru/rest/documents/KP283_2/#paragraph_vktk4a" TargetMode="External"/><Relationship Id="rId30" Type="http://schemas.openxmlformats.org/officeDocument/2006/relationships/image" Target="media/image8.png"/><Relationship Id="rId31" Type="http://schemas.openxmlformats.org/officeDocument/2006/relationships/hyperlink" Target="https://library.mededtech.ru/rest/documents/KP283_2/#paragraph_to4bbe" TargetMode="External"/><Relationship Id="rId32" Type="http://schemas.openxmlformats.org/officeDocument/2006/relationships/hyperlink" Target="https://library.mededtech.ru/rest/documents/KP283_2/index.html#list_item_a57fbl" TargetMode="External"/><Relationship Id="rId33" Type="http://schemas.openxmlformats.org/officeDocument/2006/relationships/hyperlink" Target="https://library.mededtech.ru/rest/documents/KP283_2/#paragraph_p8v1uh" TargetMode="External"/><Relationship Id="rId34" Type="http://schemas.openxmlformats.org/officeDocument/2006/relationships/hyperlink" Target="https://library.mededtech.ru/rest/documents/KP283_2/#paragraph_6brdlr" TargetMode="External"/><Relationship Id="rId35" Type="http://schemas.openxmlformats.org/officeDocument/2006/relationships/hyperlink" Target="https://library.mededtech.ru/rest/documents/KP283_2/index.html#paragraph_b4rhcj" TargetMode="External"/><Relationship Id="rId36" Type="http://schemas.openxmlformats.org/officeDocument/2006/relationships/hyperlink" Target="https://library.mededtech.ru/rest/documents/KP283_2/index.html#list_item_hsbqqr" TargetMode="External"/><Relationship Id="rId37" Type="http://schemas.openxmlformats.org/officeDocument/2006/relationships/hyperlink" Target="https://library.mededtech.ru/rest/documents/KP283_2/index.html#list_item_3gef2g" TargetMode="External"/><Relationship Id="rId38" Type="http://schemas.openxmlformats.org/officeDocument/2006/relationships/hyperlink" Target="https://library.mededtech.ru/rest/documents/KP283_2/index.html#list_item_nhh7l8" TargetMode="External"/><Relationship Id="rId39" Type="http://schemas.openxmlformats.org/officeDocument/2006/relationships/hyperlink" Target="https://library.mededtech.ru/rest/documents/KP283_2/index.html#list_item_oo4352" TargetMode="External"/><Relationship Id="rId40" Type="http://schemas.openxmlformats.org/officeDocument/2006/relationships/image" Target="media/image9.png"/><Relationship Id="rId41" Type="http://schemas.openxmlformats.org/officeDocument/2006/relationships/hyperlink" Target="https://library.mededtech.ru/rest/documents/KP283_2/index.html#list_item_al713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